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E24" w:rsidRDefault="009A2E24" w:rsidP="00A229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Алтайском крае</w:t>
      </w:r>
    </w:p>
    <w:p w:rsidR="009A2E24" w:rsidRDefault="009A2E24" w:rsidP="00A229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29B4" w:rsidRPr="00A229B4" w:rsidRDefault="00A229B4" w:rsidP="00A22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A229B4">
        <w:rPr>
          <w:rFonts w:ascii="Times New Roman" w:hAnsi="Times New Roman" w:cs="Times New Roman"/>
          <w:sz w:val="28"/>
          <w:szCs w:val="28"/>
        </w:rPr>
        <w:t>Кто может применять ПСН в 2021 году</w:t>
      </w:r>
    </w:p>
    <w:tbl>
      <w:tblPr>
        <w:tblStyle w:val="a3"/>
        <w:tblW w:w="15871" w:type="dxa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4253"/>
        <w:gridCol w:w="3118"/>
        <w:gridCol w:w="3402"/>
        <w:gridCol w:w="2268"/>
      </w:tblGrid>
      <w:tr w:rsidR="00B7590F" w:rsidRPr="007A0836" w:rsidTr="00537102">
        <w:trPr>
          <w:trHeight w:val="401"/>
        </w:trPr>
        <w:tc>
          <w:tcPr>
            <w:tcW w:w="421" w:type="dxa"/>
            <w:vAlign w:val="center"/>
          </w:tcPr>
          <w:p w:rsidR="003E5CB1" w:rsidRPr="007A0836" w:rsidRDefault="003E5CB1" w:rsidP="007A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3E5CB1" w:rsidRPr="007A0836" w:rsidRDefault="003E5CB1" w:rsidP="007A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4253" w:type="dxa"/>
            <w:vAlign w:val="center"/>
          </w:tcPr>
          <w:p w:rsidR="003E5CB1" w:rsidRPr="007A0836" w:rsidRDefault="003E5CB1" w:rsidP="007A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Ограничения по видам деятельности</w:t>
            </w:r>
          </w:p>
        </w:tc>
        <w:tc>
          <w:tcPr>
            <w:tcW w:w="3118" w:type="dxa"/>
            <w:vAlign w:val="center"/>
          </w:tcPr>
          <w:p w:rsidR="003E5CB1" w:rsidRPr="007A0836" w:rsidRDefault="003E5CB1" w:rsidP="00D15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 от налогов</w:t>
            </w:r>
          </w:p>
        </w:tc>
        <w:tc>
          <w:tcPr>
            <w:tcW w:w="3402" w:type="dxa"/>
            <w:vAlign w:val="center"/>
          </w:tcPr>
          <w:p w:rsidR="003E5CB1" w:rsidRPr="007A0836" w:rsidRDefault="003E5CB1" w:rsidP="007A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Уменьшение на страховые взносы</w:t>
            </w:r>
          </w:p>
        </w:tc>
        <w:tc>
          <w:tcPr>
            <w:tcW w:w="2268" w:type="dxa"/>
            <w:vAlign w:val="center"/>
          </w:tcPr>
          <w:p w:rsidR="003E5CB1" w:rsidRPr="007A0836" w:rsidRDefault="003E5CB1" w:rsidP="007A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Плюсы ПСН</w:t>
            </w:r>
          </w:p>
        </w:tc>
      </w:tr>
      <w:tr w:rsidR="00B7590F" w:rsidRPr="007A0836" w:rsidTr="00537102">
        <w:trPr>
          <w:trHeight w:val="378"/>
        </w:trPr>
        <w:tc>
          <w:tcPr>
            <w:tcW w:w="421" w:type="dxa"/>
          </w:tcPr>
          <w:p w:rsidR="003E5CB1" w:rsidRPr="007A0836" w:rsidRDefault="003E5CB1" w:rsidP="00D36102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E5CB1" w:rsidRPr="007A0836" w:rsidRDefault="003E5CB1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Перечень видов деятельности установлен Приложением 1</w:t>
            </w:r>
          </w:p>
          <w:p w:rsidR="003E5CB1" w:rsidRPr="007A0836" w:rsidRDefault="003E5CB1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к Закону Алтайского края от 30.10.2012 N 78-ЗС</w:t>
            </w:r>
          </w:p>
          <w:p w:rsidR="00537102" w:rsidRDefault="003E5CB1" w:rsidP="004D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«О применении индивидуальными предпринимателями патентной системы налогообложения на территории Алтайского </w:t>
            </w:r>
            <w:r w:rsidR="00B7590F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края» </w:t>
            </w:r>
          </w:p>
          <w:p w:rsidR="003E5CB1" w:rsidRDefault="00B7590F" w:rsidP="004D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ред.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625A">
              <w:rPr>
                <w:rFonts w:ascii="Times New Roman" w:hAnsi="Times New Roman" w:cs="Times New Roman"/>
                <w:sz w:val="24"/>
                <w:szCs w:val="24"/>
              </w:rPr>
              <w:t>акона Алтайского края от 27.11.2020 №88-ЗС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625A" w:rsidRPr="007A0836" w:rsidRDefault="009A2E24" w:rsidP="004D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D625A" w:rsidRPr="004D62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http://publication.pravo.gov.ru/Document/View/2200202011300002</w:t>
              </w:r>
            </w:hyperlink>
          </w:p>
        </w:tc>
        <w:tc>
          <w:tcPr>
            <w:tcW w:w="4253" w:type="dxa"/>
          </w:tcPr>
          <w:p w:rsidR="003E5CB1" w:rsidRDefault="003E5CB1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1) только ИП</w:t>
            </w:r>
          </w:p>
          <w:p w:rsidR="00B41D05" w:rsidRPr="007A0836" w:rsidRDefault="00B41D05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D625A">
              <w:t xml:space="preserve"> </w:t>
            </w:r>
            <w:r w:rsidR="004D625A" w:rsidRPr="004D625A">
              <w:rPr>
                <w:rFonts w:ascii="Times New Roman" w:hAnsi="Times New Roman" w:cs="Times New Roman"/>
                <w:sz w:val="24"/>
                <w:szCs w:val="24"/>
              </w:rPr>
              <w:t>доходы по всем видам предпринимательской деятельности, в отношении которых применяется патентная система налогообложения</w:t>
            </w:r>
            <w:r w:rsidR="004D625A">
              <w:rPr>
                <w:rFonts w:ascii="Times New Roman" w:hAnsi="Times New Roman" w:cs="Times New Roman"/>
                <w:sz w:val="24"/>
                <w:szCs w:val="24"/>
              </w:rPr>
              <w:t xml:space="preserve"> не должны превышать </w:t>
            </w:r>
            <w:r w:rsidR="004D625A" w:rsidRPr="004D625A">
              <w:rPr>
                <w:rFonts w:ascii="Times New Roman" w:hAnsi="Times New Roman" w:cs="Times New Roman"/>
                <w:sz w:val="24"/>
                <w:szCs w:val="24"/>
              </w:rPr>
              <w:t>60 млн. рублей</w:t>
            </w:r>
          </w:p>
          <w:p w:rsidR="003E5CB1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) количество работников не более 15</w:t>
            </w:r>
          </w:p>
          <w:p w:rsidR="003E5CB1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подакцизных товаров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, алкогольной продукции (кроме пива),</w:t>
            </w:r>
          </w:p>
          <w:p w:rsidR="003E5CB1" w:rsidRPr="007A0836" w:rsidRDefault="003E5CB1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52">
              <w:rPr>
                <w:rFonts w:ascii="Times New Roman" w:hAnsi="Times New Roman" w:cs="Times New Roman"/>
                <w:sz w:val="24"/>
                <w:szCs w:val="24"/>
              </w:rPr>
              <w:t>газа, грузовых и специальных автомобилей, прицепов, полуприцепов, прицепов-роспусков, автобусов, передача лекарственных препаратов по льготным (бесплатным) рецептам, продукции собственного производства (изготовления)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15B52">
              <w:rPr>
                <w:rFonts w:ascii="Times New Roman" w:hAnsi="Times New Roman" w:cs="Times New Roman"/>
                <w:sz w:val="24"/>
                <w:szCs w:val="24"/>
              </w:rPr>
              <w:t>лекарственных препаратов,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</w:t>
            </w:r>
          </w:p>
          <w:p w:rsidR="003E5CB1" w:rsidRPr="007A0836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) объекты стационарной розничной торговой сети с площадью торгового зала более 150 квадратных метров </w:t>
            </w:r>
          </w:p>
          <w:p w:rsidR="003E5CB1" w:rsidRPr="007A0836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) количество объектов</w:t>
            </w:r>
            <w:r w:rsidR="003E5CB1" w:rsidRPr="007A0836">
              <w:rPr>
                <w:sz w:val="24"/>
                <w:szCs w:val="24"/>
              </w:rPr>
              <w:t xml:space="preserve">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розничной торговой сети </w:t>
            </w:r>
            <w:r w:rsidR="005144BA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44B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3E5CB1" w:rsidRPr="007A0836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) объекты общественного питания с площадью зала обслуживания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посетителей более 150 квадратных метров</w:t>
            </w:r>
          </w:p>
          <w:p w:rsidR="003E5CB1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) количество объектов общественного питания –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E5CB1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) количество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стационарной торговой сети, не имеющих торговых залов, и объектам нестационарной рабочей сети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5CB1" w:rsidRPr="007A0836" w:rsidRDefault="004D625A" w:rsidP="00D36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) количество объектов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питания в виде закусочных и прочих предприятий быстрого питания без предоставления мест для сидения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E5CB1" w:rsidRPr="00D15B52" w:rsidRDefault="004D625A" w:rsidP="00D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автотранспортных средств и судов водного транспорта по перевозке грузов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и пассажиров 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автомобильным и водным транспортом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CB1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E5CB1" w:rsidRPr="00D15B52">
              <w:rPr>
                <w:rFonts w:ascii="Times New Roman" w:hAnsi="Times New Roman" w:cs="Times New Roman"/>
                <w:sz w:val="24"/>
                <w:szCs w:val="24"/>
              </w:rPr>
              <w:t>10 транспортных средства;</w:t>
            </w:r>
          </w:p>
          <w:p w:rsidR="003E5CB1" w:rsidRPr="007A0836" w:rsidRDefault="004D625A" w:rsidP="007A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5CB1" w:rsidRPr="007A0836">
              <w:rPr>
                <w:rFonts w:ascii="Times New Roman" w:hAnsi="Times New Roman" w:cs="Times New Roman"/>
                <w:sz w:val="24"/>
                <w:szCs w:val="24"/>
              </w:rPr>
              <w:t>) общая площадь сдаваемых в аренду (наем) собственных или арендованных жилых помещений, а также собственных или арендованных нежилых помещений (включая выставочные залы, складские помещения), земельных участков:</w:t>
            </w:r>
          </w:p>
          <w:p w:rsidR="003E5CB1" w:rsidRPr="007A0836" w:rsidRDefault="003E5CB1" w:rsidP="007A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а) по жилым помещениям - 300 квадратных метров;</w:t>
            </w:r>
          </w:p>
          <w:p w:rsidR="003E5CB1" w:rsidRPr="007A0836" w:rsidRDefault="003E5CB1" w:rsidP="007A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836">
              <w:rPr>
                <w:rFonts w:ascii="Times New Roman" w:hAnsi="Times New Roman" w:cs="Times New Roman"/>
                <w:sz w:val="24"/>
                <w:szCs w:val="24"/>
              </w:rPr>
              <w:t>б) по нежилым помещениям - 1000 квадратных метров</w:t>
            </w:r>
          </w:p>
        </w:tc>
        <w:tc>
          <w:tcPr>
            <w:tcW w:w="3118" w:type="dxa"/>
          </w:tcPr>
          <w:p w:rsidR="003E5CB1" w:rsidRPr="00D15B52" w:rsidRDefault="003E5CB1" w:rsidP="00D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 w:rsidRPr="00D15B52">
              <w:rPr>
                <w:rFonts w:ascii="Times New Roman" w:hAnsi="Times New Roman" w:cs="Times New Roman"/>
                <w:sz w:val="24"/>
                <w:szCs w:val="24"/>
              </w:rPr>
              <w:t xml:space="preserve"> на доходы физических лиц </w:t>
            </w:r>
            <w:r w:rsidR="00B41D0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1D05" w:rsidRPr="00B41D05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полученных при осуществлении предпринимательской деятельности, в отношении которых применяется </w:t>
            </w:r>
            <w:r w:rsidR="00B41D05">
              <w:rPr>
                <w:rFonts w:ascii="Times New Roman" w:hAnsi="Times New Roman" w:cs="Times New Roman"/>
                <w:sz w:val="24"/>
                <w:szCs w:val="24"/>
              </w:rPr>
              <w:t>ПСН)</w:t>
            </w:r>
          </w:p>
          <w:p w:rsidR="003E5CB1" w:rsidRDefault="003E5CB1" w:rsidP="00D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B52">
              <w:rPr>
                <w:rFonts w:ascii="Times New Roman" w:hAnsi="Times New Roman" w:cs="Times New Roman"/>
                <w:sz w:val="24"/>
                <w:szCs w:val="24"/>
              </w:rPr>
              <w:t>2) на имущество физических</w:t>
            </w:r>
            <w:r w:rsidR="004D625A">
              <w:rPr>
                <w:rFonts w:ascii="Times New Roman" w:hAnsi="Times New Roman" w:cs="Times New Roman"/>
                <w:sz w:val="24"/>
                <w:szCs w:val="24"/>
              </w:rPr>
              <w:t xml:space="preserve"> лиц (</w:t>
            </w:r>
            <w:r w:rsidR="004D625A" w:rsidRPr="004D625A">
              <w:rPr>
                <w:rFonts w:ascii="Times New Roman" w:hAnsi="Times New Roman" w:cs="Times New Roman"/>
                <w:sz w:val="24"/>
                <w:szCs w:val="24"/>
              </w:rPr>
              <w:t>используемого при осуществлении предпринимательской деятельности</w:t>
            </w:r>
            <w:r w:rsidR="004D62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E5CB1" w:rsidRDefault="003E5CB1" w:rsidP="00D1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15B52">
              <w:rPr>
                <w:rFonts w:ascii="Times New Roman" w:hAnsi="Times New Roman" w:cs="Times New Roman"/>
                <w:sz w:val="24"/>
                <w:szCs w:val="24"/>
              </w:rPr>
              <w:t>налога на добавленную стоимость</w:t>
            </w:r>
          </w:p>
          <w:p w:rsidR="00FD1372" w:rsidRPr="00FD1372" w:rsidRDefault="00FD1372" w:rsidP="00FD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>НДС платят, если:</w:t>
            </w:r>
          </w:p>
          <w:p w:rsidR="00FD1372" w:rsidRPr="00FD1372" w:rsidRDefault="00FD1372" w:rsidP="00FD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>ИП импортирует товары в Россию;</w:t>
            </w:r>
          </w:p>
          <w:p w:rsidR="00FD1372" w:rsidRPr="00FD1372" w:rsidRDefault="00FD1372" w:rsidP="00FD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 xml:space="preserve">ИП — налоговый агент по НДС; </w:t>
            </w:r>
          </w:p>
          <w:p w:rsidR="00FD1372" w:rsidRPr="007A0836" w:rsidRDefault="00FD1372" w:rsidP="00FD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C7A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 xml:space="preserve">редпринимателя несколько видов </w:t>
            </w:r>
            <w:r w:rsidR="009C7A30" w:rsidRPr="00FD1372">
              <w:rPr>
                <w:rFonts w:ascii="Times New Roman" w:hAnsi="Times New Roman" w:cs="Times New Roman"/>
                <w:sz w:val="24"/>
                <w:szCs w:val="24"/>
              </w:rPr>
              <w:t>деятельности с</w:t>
            </w:r>
            <w:r w:rsidRPr="00FD1372">
              <w:rPr>
                <w:rFonts w:ascii="Times New Roman" w:hAnsi="Times New Roman" w:cs="Times New Roman"/>
                <w:sz w:val="24"/>
                <w:szCs w:val="24"/>
              </w:rPr>
              <w:t xml:space="preserve"> разными режимами налогообложения.</w:t>
            </w:r>
          </w:p>
        </w:tc>
        <w:tc>
          <w:tcPr>
            <w:tcW w:w="3402" w:type="dxa"/>
          </w:tcPr>
          <w:p w:rsidR="005144BA" w:rsidRPr="005144BA" w:rsidRDefault="005144BA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BA">
              <w:rPr>
                <w:rFonts w:ascii="Times New Roman" w:hAnsi="Times New Roman" w:cs="Times New Roman"/>
                <w:sz w:val="24"/>
                <w:szCs w:val="24"/>
              </w:rPr>
              <w:t>В 2021 году предприниматели смогут вычесть из суммы налога:</w:t>
            </w:r>
          </w:p>
          <w:p w:rsidR="005144BA" w:rsidRPr="005144BA" w:rsidRDefault="00FD1372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144BA" w:rsidRPr="005144BA">
              <w:rPr>
                <w:rFonts w:ascii="Times New Roman" w:hAnsi="Times New Roman" w:cs="Times New Roman"/>
                <w:sz w:val="24"/>
                <w:szCs w:val="24"/>
              </w:rPr>
              <w:t>страховые взносы за себя</w:t>
            </w:r>
            <w:r w:rsidR="00C22A1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22A1F" w:rsidRPr="00C22A1F">
              <w:rPr>
                <w:rFonts w:ascii="Times New Roman" w:hAnsi="Times New Roman" w:cs="Times New Roman"/>
                <w:sz w:val="24"/>
                <w:szCs w:val="24"/>
              </w:rPr>
              <w:t>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обязательное социальное страхование от несчастных случаев на производстве и профессиональных заболеваний, уплаченных (в пределах исчисленных сумм) в данном налоговом периоде</w:t>
            </w:r>
            <w:r w:rsidR="00C22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44BA" w:rsidRPr="005144BA" w:rsidRDefault="00FD1372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144BA" w:rsidRPr="005144BA">
              <w:rPr>
                <w:rFonts w:ascii="Times New Roman" w:hAnsi="Times New Roman" w:cs="Times New Roman"/>
                <w:sz w:val="24"/>
                <w:szCs w:val="24"/>
              </w:rPr>
              <w:t>взносы за сотрудников;</w:t>
            </w:r>
          </w:p>
          <w:p w:rsidR="005144BA" w:rsidRDefault="00FD1372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="005144BA" w:rsidRPr="005144BA">
              <w:rPr>
                <w:rFonts w:ascii="Times New Roman" w:hAnsi="Times New Roman" w:cs="Times New Roman"/>
                <w:sz w:val="24"/>
                <w:szCs w:val="24"/>
              </w:rPr>
              <w:t>уплаченные за работников пособия по временной нетрудоспособности (первые три дня бо</w:t>
            </w:r>
            <w:r w:rsidR="00537102">
              <w:rPr>
                <w:rFonts w:ascii="Times New Roman" w:hAnsi="Times New Roman" w:cs="Times New Roman"/>
                <w:sz w:val="24"/>
                <w:szCs w:val="24"/>
              </w:rPr>
              <w:t>льничного за счёт работодателя)</w:t>
            </w:r>
          </w:p>
          <w:p w:rsidR="00537102" w:rsidRPr="005144BA" w:rsidRDefault="00537102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</w:t>
            </w:r>
            <w:r w:rsidRPr="00537102">
              <w:rPr>
                <w:rFonts w:ascii="Times New Roman" w:hAnsi="Times New Roman" w:cs="Times New Roman"/>
                <w:sz w:val="24"/>
                <w:szCs w:val="24"/>
              </w:rPr>
              <w:t>платежей (взносов) по договорам добровольного личного страхования, заключенным со страховыми организациями, имеющими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лицензии, </w:t>
            </w:r>
            <w:r w:rsidRPr="00537102">
              <w:rPr>
                <w:rFonts w:ascii="Times New Roman" w:hAnsi="Times New Roman" w:cs="Times New Roman"/>
                <w:sz w:val="24"/>
                <w:szCs w:val="24"/>
              </w:rPr>
              <w:t xml:space="preserve">в пользу </w:t>
            </w:r>
            <w:r w:rsidRPr="00537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на случай их временной нетрудоспособности</w:t>
            </w:r>
          </w:p>
          <w:p w:rsidR="005144BA" w:rsidRPr="005144BA" w:rsidRDefault="005144BA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BA">
              <w:rPr>
                <w:rFonts w:ascii="Times New Roman" w:hAnsi="Times New Roman" w:cs="Times New Roman"/>
                <w:sz w:val="24"/>
                <w:szCs w:val="24"/>
              </w:rPr>
              <w:t>Принцип такой же, как на УСН и ЕНВД. ИП без работников вправе уменьшить налог на 100%, работодатели — до 50%. Важно, чтобы сотрудники были заняты именно в деятельности по патенту.</w:t>
            </w:r>
          </w:p>
          <w:p w:rsidR="003E5CB1" w:rsidRPr="007A0836" w:rsidRDefault="005144BA" w:rsidP="0051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4BA">
              <w:rPr>
                <w:rFonts w:ascii="Times New Roman" w:hAnsi="Times New Roman" w:cs="Times New Roman"/>
                <w:sz w:val="24"/>
                <w:szCs w:val="24"/>
              </w:rPr>
              <w:t>Взносы снижают налог, если они оплачены в период действия патента. Если взносов заплатили больше, чем стоит патент, остаток можно использовать для уменьшения других патентов в течение календарного года.</w:t>
            </w:r>
          </w:p>
        </w:tc>
        <w:tc>
          <w:tcPr>
            <w:tcW w:w="2268" w:type="dxa"/>
          </w:tcPr>
          <w:p w:rsidR="003E5CB1" w:rsidRDefault="003E5CB1" w:rsidP="003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 п</w:t>
            </w:r>
            <w:r w:rsidRPr="003E5CB1">
              <w:rPr>
                <w:rFonts w:ascii="Times New Roman" w:hAnsi="Times New Roman" w:cs="Times New Roman"/>
                <w:sz w:val="24"/>
                <w:szCs w:val="24"/>
              </w:rPr>
              <w:t xml:space="preserve">олучить можно на любой срок от 1 до 12 месяцев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CB1">
              <w:rPr>
                <w:rFonts w:ascii="Times New Roman" w:hAnsi="Times New Roman" w:cs="Times New Roman"/>
                <w:sz w:val="24"/>
                <w:szCs w:val="24"/>
              </w:rPr>
              <w:t>алендарного года</w:t>
            </w:r>
          </w:p>
          <w:p w:rsidR="003E5CB1" w:rsidRDefault="003E5CB1" w:rsidP="003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 ИП </w:t>
            </w:r>
            <w:r w:rsidRPr="003E5CB1">
              <w:rPr>
                <w:rFonts w:ascii="Times New Roman" w:hAnsi="Times New Roman" w:cs="Times New Roman"/>
                <w:sz w:val="24"/>
                <w:szCs w:val="24"/>
              </w:rPr>
              <w:t>не сдают декларацию</w:t>
            </w:r>
          </w:p>
          <w:p w:rsidR="003E5CB1" w:rsidRDefault="003E5CB1" w:rsidP="003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 для некоторых видов деятельности освобождение от онлайн касс</w:t>
            </w:r>
          </w:p>
          <w:p w:rsidR="003E5CB1" w:rsidRDefault="003E5CB1" w:rsidP="003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FD1372">
              <w:rPr>
                <w:rFonts w:ascii="Times New Roman" w:hAnsi="Times New Roman" w:cs="Times New Roman"/>
                <w:sz w:val="24"/>
                <w:szCs w:val="24"/>
              </w:rPr>
              <w:t xml:space="preserve">ИП может </w:t>
            </w:r>
            <w:r w:rsidR="00FD1372" w:rsidRPr="00FD1372">
              <w:rPr>
                <w:rFonts w:ascii="Times New Roman" w:hAnsi="Times New Roman" w:cs="Times New Roman"/>
                <w:sz w:val="24"/>
                <w:szCs w:val="24"/>
              </w:rPr>
              <w:t>совмещать не</w:t>
            </w:r>
            <w:r w:rsidR="00FD1372">
              <w:rPr>
                <w:rFonts w:ascii="Times New Roman" w:hAnsi="Times New Roman" w:cs="Times New Roman"/>
                <w:sz w:val="24"/>
                <w:szCs w:val="24"/>
              </w:rPr>
              <w:t>сколько режимов налогообложения</w:t>
            </w:r>
          </w:p>
          <w:p w:rsidR="00C22A1F" w:rsidRPr="007A0836" w:rsidRDefault="00C22A1F" w:rsidP="003E5C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 ИП </w:t>
            </w:r>
            <w:r w:rsidRPr="00C22A1F">
              <w:rPr>
                <w:rFonts w:ascii="Times New Roman" w:hAnsi="Times New Roman" w:cs="Times New Roman"/>
                <w:sz w:val="24"/>
                <w:szCs w:val="24"/>
              </w:rPr>
              <w:t>вправе получить несколько патентов</w:t>
            </w:r>
          </w:p>
        </w:tc>
      </w:tr>
    </w:tbl>
    <w:p w:rsidR="00FD1372" w:rsidRDefault="00FD1372" w:rsidP="00D36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102" w:rsidRDefault="00537102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7102" w:rsidRDefault="00537102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90F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D1372" w:rsidRDefault="00B7590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Важно! </w:t>
      </w:r>
      <w:r w:rsidR="00FD1372" w:rsidRPr="009C7A30">
        <w:rPr>
          <w:rFonts w:ascii="Times New Roman" w:hAnsi="Times New Roman" w:cs="Times New Roman"/>
          <w:b/>
          <w:sz w:val="24"/>
          <w:szCs w:val="24"/>
        </w:rPr>
        <w:t>Как перейти на патентную систему налогообложения!</w:t>
      </w:r>
    </w:p>
    <w:p w:rsidR="00C22A1F" w:rsidRDefault="00C22A1F" w:rsidP="009C7A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A1F" w:rsidRPr="00C22A1F" w:rsidRDefault="00C22A1F" w:rsidP="00C22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A1F">
        <w:rPr>
          <w:rFonts w:ascii="Times New Roman" w:hAnsi="Times New Roman" w:cs="Times New Roman"/>
          <w:b/>
          <w:sz w:val="24"/>
          <w:szCs w:val="24"/>
        </w:rPr>
        <w:t>Заявление на получение патента необходимо подать не позднее чем за 10 дней до начала применения патентной системы налогообложения.</w:t>
      </w:r>
    </w:p>
    <w:p w:rsidR="00C22A1F" w:rsidRPr="009C7A30" w:rsidRDefault="00C22A1F" w:rsidP="00C22A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  <w:r w:rsidRPr="00C22A1F">
        <w:rPr>
          <w:rFonts w:ascii="Times New Roman" w:hAnsi="Times New Roman" w:cs="Times New Roman"/>
          <w:b/>
          <w:sz w:val="24"/>
          <w:szCs w:val="24"/>
        </w:rPr>
        <w:t xml:space="preserve">В случае, если вы не подадите заявление о переходе на </w:t>
      </w:r>
      <w:r w:rsidR="00537102" w:rsidRPr="00C22A1F">
        <w:rPr>
          <w:rFonts w:ascii="Times New Roman" w:hAnsi="Times New Roman" w:cs="Times New Roman"/>
          <w:b/>
          <w:sz w:val="24"/>
          <w:szCs w:val="24"/>
        </w:rPr>
        <w:t xml:space="preserve">ПСН </w:t>
      </w:r>
      <w:r w:rsidR="00537102">
        <w:rPr>
          <w:rFonts w:ascii="Times New Roman" w:hAnsi="Times New Roman" w:cs="Times New Roman"/>
          <w:b/>
          <w:sz w:val="24"/>
          <w:szCs w:val="24"/>
        </w:rPr>
        <w:t>или</w:t>
      </w:r>
      <w:r>
        <w:rPr>
          <w:rFonts w:ascii="Times New Roman" w:hAnsi="Times New Roman" w:cs="Times New Roman"/>
          <w:b/>
          <w:sz w:val="24"/>
          <w:szCs w:val="24"/>
        </w:rPr>
        <w:t xml:space="preserve"> УСН </w:t>
      </w:r>
      <w:r w:rsidRPr="00C22A1F">
        <w:rPr>
          <w:rFonts w:ascii="Times New Roman" w:hAnsi="Times New Roman" w:cs="Times New Roman"/>
          <w:b/>
          <w:sz w:val="24"/>
          <w:szCs w:val="24"/>
        </w:rPr>
        <w:t>до 18.12.2020, то с 01.01.2021 Вы автом</w:t>
      </w:r>
      <w:r>
        <w:rPr>
          <w:rFonts w:ascii="Times New Roman" w:hAnsi="Times New Roman" w:cs="Times New Roman"/>
          <w:b/>
          <w:sz w:val="24"/>
          <w:szCs w:val="24"/>
        </w:rPr>
        <w:t>атически будете переведены на общую систему налогообложения</w:t>
      </w:r>
      <w:r w:rsidR="00537102">
        <w:rPr>
          <w:rFonts w:ascii="Times New Roman" w:hAnsi="Times New Roman" w:cs="Times New Roman"/>
          <w:b/>
          <w:sz w:val="24"/>
          <w:szCs w:val="24"/>
        </w:rPr>
        <w:t xml:space="preserve"> (ОСН)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Для получения патента индивидуальный предприниматель должен подать в налоговый орган заявление на получение патента. Рекомендуемая форма «Заявление на получения патента» (форма КНД 1150010) доведена письмом ФНС России от 18.02.2020 № СД-4-3/2815@.</w:t>
      </w:r>
    </w:p>
    <w:p w:rsidR="009C7A30" w:rsidRPr="00B47D91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При этом индивидуальные предприниматели также вправе подавать заявление на получение патента по форме, утвержденной приказом ФНС России от 11.07.2017 № ММВ-7-3/544@.</w:t>
      </w:r>
      <w:r w:rsidR="00B47D91" w:rsidRPr="00B47D91">
        <w:rPr>
          <w:rFonts w:ascii="Times New Roman" w:hAnsi="Times New Roman" w:cs="Times New Roman"/>
          <w:sz w:val="24"/>
          <w:szCs w:val="24"/>
        </w:rPr>
        <w:t xml:space="preserve"> </w:t>
      </w:r>
      <w:r w:rsidR="00B47D91">
        <w:rPr>
          <w:rFonts w:ascii="Times New Roman" w:hAnsi="Times New Roman" w:cs="Times New Roman"/>
          <w:sz w:val="24"/>
          <w:szCs w:val="24"/>
        </w:rPr>
        <w:t xml:space="preserve">Формы документов Вы можете посмотреть на сайте Федеральной налоговой службы Российской Федерации </w:t>
      </w:r>
      <w:hyperlink r:id="rId6" w:history="1">
        <w:r w:rsidR="00B47D91" w:rsidRPr="00B47D91">
          <w:rPr>
            <w:rStyle w:val="a5"/>
            <w:rFonts w:ascii="Times New Roman" w:hAnsi="Times New Roman" w:cs="Times New Roman"/>
            <w:sz w:val="24"/>
            <w:szCs w:val="24"/>
          </w:rPr>
          <w:t>https://www.nalog.ru/rn22/taxation/taxes/patent/</w:t>
        </w:r>
      </w:hyperlink>
      <w:r w:rsidR="00B47D91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B47D91" w:rsidRPr="00B47D91">
        <w:rPr>
          <w:rFonts w:ascii="Times New Roman" w:hAnsi="Times New Roman" w:cs="Times New Roman"/>
          <w:b/>
          <w:sz w:val="24"/>
          <w:szCs w:val="24"/>
        </w:rPr>
        <w:t>«Процедура перехода на патентную систему налогообложения»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При осуществлении д</w:t>
      </w:r>
      <w:r w:rsidR="00E12F49">
        <w:rPr>
          <w:rFonts w:ascii="Times New Roman" w:hAnsi="Times New Roman" w:cs="Times New Roman"/>
          <w:sz w:val="24"/>
          <w:szCs w:val="24"/>
        </w:rPr>
        <w:t>еятельности по месту жительства з</w:t>
      </w:r>
      <w:r w:rsidRPr="009C7A30">
        <w:rPr>
          <w:rFonts w:ascii="Times New Roman" w:hAnsi="Times New Roman" w:cs="Times New Roman"/>
          <w:sz w:val="24"/>
          <w:szCs w:val="24"/>
        </w:rPr>
        <w:t>аявление подается в налоговый орган по месту жительства</w:t>
      </w:r>
      <w:r w:rsidR="00E12F49">
        <w:rPr>
          <w:rFonts w:ascii="Times New Roman" w:hAnsi="Times New Roman" w:cs="Times New Roman"/>
          <w:sz w:val="24"/>
          <w:szCs w:val="24"/>
        </w:rPr>
        <w:t>.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При осуществлении деятельности на территории того муниципального образования, городского округа, города федерального значения или субъекта Российской Федерации, в котором предприниматель на налоговом учете не стоит</w:t>
      </w:r>
      <w:r w:rsidR="00E12F49">
        <w:rPr>
          <w:rFonts w:ascii="Times New Roman" w:hAnsi="Times New Roman" w:cs="Times New Roman"/>
          <w:sz w:val="24"/>
          <w:szCs w:val="24"/>
        </w:rPr>
        <w:t xml:space="preserve"> з</w:t>
      </w:r>
      <w:r w:rsidRPr="009C7A30">
        <w:rPr>
          <w:rFonts w:ascii="Times New Roman" w:hAnsi="Times New Roman" w:cs="Times New Roman"/>
          <w:sz w:val="24"/>
          <w:szCs w:val="24"/>
        </w:rPr>
        <w:t>аявление подается в любой территориальный налоговый орган муниципального образования, городского округа, города федерального значения или субъекта Российской Федерации по месту планируемого осуществления индивидуальным предпринимателем предпринимательской деятельности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предприниматель, утративший право на применение патентной системы налогообложения или прекративший предпринимательскую деятельность, в отношении которой применялась патентная система налогообложения, до истечения срока действия патента, вправе вновь перейти на патентную систему налогообложения </w:t>
      </w:r>
      <w:proofErr w:type="gramStart"/>
      <w:r w:rsidR="00C22A1F" w:rsidRPr="009C7A30">
        <w:rPr>
          <w:rFonts w:ascii="Times New Roman" w:hAnsi="Times New Roman" w:cs="Times New Roman"/>
          <w:sz w:val="24"/>
          <w:szCs w:val="24"/>
        </w:rPr>
        <w:t>по</w:t>
      </w:r>
      <w:r w:rsidR="00C22A1F">
        <w:rPr>
          <w:rFonts w:ascii="Times New Roman" w:hAnsi="Times New Roman" w:cs="Times New Roman"/>
          <w:sz w:val="24"/>
          <w:szCs w:val="24"/>
        </w:rPr>
        <w:t xml:space="preserve"> </w:t>
      </w:r>
      <w:r w:rsidR="00C22A1F" w:rsidRPr="009C7A30">
        <w:rPr>
          <w:rFonts w:ascii="Times New Roman" w:hAnsi="Times New Roman" w:cs="Times New Roman"/>
          <w:sz w:val="24"/>
          <w:szCs w:val="24"/>
        </w:rPr>
        <w:t>этому</w:t>
      </w:r>
      <w:proofErr w:type="gramEnd"/>
      <w:r w:rsidRPr="009C7A30">
        <w:rPr>
          <w:rFonts w:ascii="Times New Roman" w:hAnsi="Times New Roman" w:cs="Times New Roman"/>
          <w:sz w:val="24"/>
          <w:szCs w:val="24"/>
        </w:rPr>
        <w:t xml:space="preserve"> же виду предпринимательской деятельности не ранее чем со следующего календарного года (</w:t>
      </w:r>
      <w:proofErr w:type="spellStart"/>
      <w:r w:rsidRPr="009C7A30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9C7A30">
        <w:rPr>
          <w:rFonts w:ascii="Times New Roman" w:hAnsi="Times New Roman" w:cs="Times New Roman"/>
          <w:sz w:val="24"/>
          <w:szCs w:val="24"/>
        </w:rPr>
        <w:t>. 2 ст. 346.45 НК РФ)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Заявление может быть подано лично или через представителя, направлено в виде почтового отправления с описью вложения или передано в электронной форме по телекоммуникационным каналам связи.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В течение 5дней со дня получения заявления на получение патента налоговый орган обязан выдать индивидуальному предпринимателю патент или уведомить его об отказе в выдаче патента (п. 3 ст. 346.45 НК РФ).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Уведомление об отказе в выдаче патента доводится до сведения индивидуального предпринимателя в течение пяти дней после вынесения решения об отказе в выдаче патента.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Основания для отказа в выдаче патента</w:t>
      </w:r>
    </w:p>
    <w:p w:rsidR="009C7A30" w:rsidRPr="009C7A30" w:rsidRDefault="00B567E6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C7A30" w:rsidRPr="009C7A30">
        <w:rPr>
          <w:rFonts w:ascii="Times New Roman" w:hAnsi="Times New Roman" w:cs="Times New Roman"/>
          <w:sz w:val="24"/>
          <w:szCs w:val="24"/>
        </w:rPr>
        <w:t>несоответствие в заявлении на получение патента вида предпринимательской деятельности перечню видов предпринимательской деятельности, в отношении которых на территории субъекта Российской Федерации введена патентная система налогообложения</w:t>
      </w:r>
    </w:p>
    <w:p w:rsidR="009C7A30" w:rsidRPr="009C7A30" w:rsidRDefault="00B567E6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C7A30" w:rsidRPr="009C7A30">
        <w:rPr>
          <w:rFonts w:ascii="Times New Roman" w:hAnsi="Times New Roman" w:cs="Times New Roman"/>
          <w:sz w:val="24"/>
          <w:szCs w:val="24"/>
        </w:rPr>
        <w:t>указание срока действия патента, не соответствующего п. 5 ст. 346.45 НК РФ (патент выдается по выбору индивидуального предпринимателя на период от одного до двенадцати месяцев включительно в пределах календарного года)</w:t>
      </w:r>
    </w:p>
    <w:p w:rsidR="009C7A30" w:rsidRPr="009C7A30" w:rsidRDefault="00B567E6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C7A30" w:rsidRPr="009C7A30">
        <w:rPr>
          <w:rFonts w:ascii="Times New Roman" w:hAnsi="Times New Roman" w:cs="Times New Roman"/>
          <w:sz w:val="24"/>
          <w:szCs w:val="24"/>
        </w:rPr>
        <w:t>нарушение условия перехода на патентную систему налогообложения, установленного абзацем вторым п. 8 ст.345.45 НК РФ</w:t>
      </w:r>
    </w:p>
    <w:p w:rsidR="009C7A30" w:rsidRPr="009C7A30" w:rsidRDefault="00B567E6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="009C7A30" w:rsidRPr="009C7A30">
        <w:rPr>
          <w:rFonts w:ascii="Times New Roman" w:hAnsi="Times New Roman" w:cs="Times New Roman"/>
          <w:sz w:val="24"/>
          <w:szCs w:val="24"/>
        </w:rPr>
        <w:t>наличие недоимки по налогу, уплачиваемому в связи с применением патентной системы налогообложения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Постановка на учет индивидуального предпринимателя в качестве налогоплательщика, применяющего патентную систему налогообложения, осуществляется налоговым органом, в который он обратился с заявлением на получение патента, на основании указанного заявления в течение пяти дней со дня его получения (п.1 ст.346.46 НК РФ).</w:t>
      </w:r>
    </w:p>
    <w:p w:rsidR="009C7A30" w:rsidRPr="009C7A30" w:rsidRDefault="009C7A30" w:rsidP="00E12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7A30">
        <w:rPr>
          <w:rFonts w:ascii="Times New Roman" w:hAnsi="Times New Roman" w:cs="Times New Roman"/>
          <w:sz w:val="24"/>
          <w:szCs w:val="24"/>
        </w:rPr>
        <w:t>Датой постановки на учет является дата начала действия патента.</w:t>
      </w:r>
    </w:p>
    <w:sectPr w:rsidR="009C7A30" w:rsidRPr="009C7A30" w:rsidSect="002E306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85CC0"/>
    <w:multiLevelType w:val="hybridMultilevel"/>
    <w:tmpl w:val="05A4C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061"/>
    <w:rsid w:val="002E3061"/>
    <w:rsid w:val="003402CF"/>
    <w:rsid w:val="003922CD"/>
    <w:rsid w:val="003E5CB1"/>
    <w:rsid w:val="003F4011"/>
    <w:rsid w:val="004D625A"/>
    <w:rsid w:val="004D7CE3"/>
    <w:rsid w:val="005144BA"/>
    <w:rsid w:val="00537102"/>
    <w:rsid w:val="005453EA"/>
    <w:rsid w:val="0060009E"/>
    <w:rsid w:val="00662EFB"/>
    <w:rsid w:val="007A0836"/>
    <w:rsid w:val="009A2E24"/>
    <w:rsid w:val="009C7A30"/>
    <w:rsid w:val="00A229B4"/>
    <w:rsid w:val="00B41D05"/>
    <w:rsid w:val="00B47D91"/>
    <w:rsid w:val="00B567E6"/>
    <w:rsid w:val="00B7590F"/>
    <w:rsid w:val="00C140A6"/>
    <w:rsid w:val="00C22A1F"/>
    <w:rsid w:val="00CA7DCC"/>
    <w:rsid w:val="00D15B52"/>
    <w:rsid w:val="00D36102"/>
    <w:rsid w:val="00E12F49"/>
    <w:rsid w:val="00F328B4"/>
    <w:rsid w:val="00F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2E54B-9276-4EE7-80E7-E5AE3312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40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62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ru/rn22/taxation/taxes/patent/" TargetMode="External"/><Relationship Id="rId5" Type="http://schemas.openxmlformats.org/officeDocument/2006/relationships/hyperlink" Target="http://publication.pravo.gov.ru/Document/View/220020201130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2020-12-01T07:44:00Z</dcterms:created>
  <dcterms:modified xsi:type="dcterms:W3CDTF">2020-12-07T06:57:00Z</dcterms:modified>
</cp:coreProperties>
</file>